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B14D" w14:textId="77777777" w:rsidR="007D1376" w:rsidRPr="00D814EA" w:rsidRDefault="007D1376">
      <w:pPr>
        <w:rPr>
          <w:rFonts w:asciiTheme="majorHAnsi" w:hAnsiTheme="majorHAnsi"/>
          <w:sz w:val="22"/>
          <w:szCs w:val="22"/>
        </w:rPr>
      </w:pPr>
      <w:bookmarkStart w:id="0" w:name="_GoBack"/>
      <w:bookmarkEnd w:id="0"/>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37073E">
            <w:pPr>
              <w:jc w:val="both"/>
              <w:rPr>
                <w:rFonts w:asciiTheme="majorHAnsi" w:hAnsiTheme="majorHAnsi"/>
              </w:rPr>
            </w:pPr>
            <w:hyperlink r:id="rId8"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24F6B645" w:rsidR="008E68B4" w:rsidRPr="00D814EA" w:rsidRDefault="008E68B4" w:rsidP="008E68B4">
            <w:pPr>
              <w:jc w:val="right"/>
              <w:rPr>
                <w:rFonts w:asciiTheme="majorHAnsi" w:hAnsiTheme="majorHAnsi"/>
              </w:rPr>
            </w:pPr>
            <w:r w:rsidRPr="00D814EA">
              <w:rPr>
                <w:rFonts w:asciiTheme="majorHAnsi" w:hAnsiTheme="majorHAnsi"/>
              </w:rPr>
              <w:t>E.</w:t>
            </w:r>
            <w:r w:rsidR="003B212E">
              <w:rPr>
                <w:rFonts w:asciiTheme="majorHAnsi" w:hAnsiTheme="majorHAnsi"/>
              </w:rPr>
              <w:t xml:space="preserve"> </w:t>
            </w:r>
            <w:r w:rsidRPr="00D814EA">
              <w:rPr>
                <w:rFonts w:asciiTheme="majorHAnsi" w:hAnsiTheme="majorHAnsi"/>
              </w:rPr>
              <w:t xml:space="preserve">Mail: </w:t>
            </w:r>
            <w:hyperlink r:id="rId9"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1" o:title=""/>
                </v:shape>
                <o:OLEObject Type="Embed" ProgID="HP.DeskScan.2" ShapeID="_x0000_i1025" DrawAspect="Content" ObjectID="_1787490139" r:id="rId12"/>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6476398C"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097806">
        <w:rPr>
          <w:rFonts w:asciiTheme="majorHAnsi" w:hAnsiTheme="majorHAnsi"/>
          <w:b/>
          <w:bCs/>
        </w:rPr>
        <w:t xml:space="preserve">SPECTROQUANT </w:t>
      </w:r>
      <w:r w:rsidR="005A5341">
        <w:rPr>
          <w:rFonts w:asciiTheme="majorHAnsi" w:hAnsiTheme="majorHAnsi"/>
          <w:b/>
          <w:bCs/>
        </w:rPr>
        <w:t xml:space="preserve">MULTI PHOTOMETER </w:t>
      </w:r>
      <w:r w:rsidRPr="00F907F5">
        <w:rPr>
          <w:rFonts w:asciiTheme="majorHAnsi" w:hAnsiTheme="majorHAnsi"/>
          <w:b/>
          <w:bCs/>
        </w:rPr>
        <w:t>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3BFDDBB6" w:rsidR="00447EF6" w:rsidRPr="00D814EA" w:rsidRDefault="000B26D0" w:rsidP="00447EF6">
      <w:pPr>
        <w:spacing w:after="200" w:line="276" w:lineRule="auto"/>
        <w:jc w:val="center"/>
        <w:rPr>
          <w:rStyle w:val="Hyperlink"/>
          <w:rFonts w:asciiTheme="majorHAnsi" w:hAnsiTheme="majorHAnsi"/>
          <w:b/>
          <w:bCs/>
        </w:rPr>
      </w:pPr>
      <w:r>
        <w:rPr>
          <w:rFonts w:asciiTheme="majorHAnsi" w:hAnsiTheme="majorHAnsi"/>
          <w:noProof/>
        </w:rPr>
        <mc:AlternateContent>
          <mc:Choice Requires="wps">
            <w:drawing>
              <wp:anchor distT="0" distB="0" distL="114300" distR="114300" simplePos="0" relativeHeight="251658240" behindDoc="0" locked="0" layoutInCell="1" allowOverlap="1" wp14:anchorId="5FAAA409" wp14:editId="2233E5A6">
                <wp:simplePos x="0" y="0"/>
                <wp:positionH relativeFrom="column">
                  <wp:posOffset>3172460</wp:posOffset>
                </wp:positionH>
                <wp:positionV relativeFrom="paragraph">
                  <wp:posOffset>253365</wp:posOffset>
                </wp:positionV>
                <wp:extent cx="159385" cy="254000"/>
                <wp:effectExtent l="19685" t="12700" r="20955"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254000"/>
                        </a:xfrm>
                        <a:prstGeom prst="upArrow">
                          <a:avLst>
                            <a:gd name="adj1" fmla="val 50000"/>
                            <a:gd name="adj2" fmla="val 39841"/>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E4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249.8pt;margin-top:19.95pt;width:12.5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" fillcolor="black [3213]">
                <v:textbox style="layout-flow:vertical-ideographic"/>
              </v:shape>
            </w:pict>
          </mc:Fallback>
        </mc:AlternateConten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5A5341">
        <w:rPr>
          <w:rFonts w:asciiTheme="majorHAnsi" w:hAnsiTheme="majorHAnsi"/>
          <w:b/>
          <w:bCs/>
          <w:color w:val="0033CC"/>
        </w:rPr>
        <w:t>3</w:t>
      </w:r>
      <w:r w:rsidR="00596EDF" w:rsidRPr="00D814EA">
        <w:rPr>
          <w:rFonts w:asciiTheme="majorHAnsi" w:hAnsiTheme="majorHAnsi"/>
          <w:b/>
          <w:bCs/>
          <w:color w:val="0033CC"/>
        </w:rPr>
        <w:t>-</w:t>
      </w:r>
      <w:r w:rsidR="005A5341">
        <w:rPr>
          <w:rFonts w:asciiTheme="majorHAnsi" w:hAnsiTheme="majorHAnsi"/>
          <w:b/>
          <w:bCs/>
          <w:color w:val="0033CC"/>
        </w:rPr>
        <w:t>7</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4"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5"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6"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rsidSect="00796B48">
          <w:footerReference w:type="default" r:id="rId17"/>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1"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857F1D">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37073E" w:rsidP="005B4C21">
            <w:pPr>
              <w:spacing w:line="276" w:lineRule="auto"/>
              <w:jc w:val="both"/>
              <w:rPr>
                <w:rFonts w:asciiTheme="majorHAnsi" w:hAnsiTheme="majorHAnsi"/>
              </w:rPr>
            </w:pPr>
            <w:hyperlink r:id="rId18"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4B640352" w:rsidR="00D32312" w:rsidRPr="00D814EA" w:rsidRDefault="00D32312" w:rsidP="005B4C21">
            <w:pPr>
              <w:spacing w:line="276" w:lineRule="auto"/>
              <w:jc w:val="right"/>
              <w:rPr>
                <w:rFonts w:asciiTheme="majorHAnsi" w:hAnsiTheme="majorHAnsi"/>
              </w:rPr>
            </w:pPr>
            <w:r w:rsidRPr="00D814EA">
              <w:rPr>
                <w:rFonts w:asciiTheme="majorHAnsi" w:hAnsiTheme="majorHAnsi"/>
              </w:rPr>
              <w:t>E.</w:t>
            </w:r>
            <w:r w:rsidR="00B458A6">
              <w:rPr>
                <w:rFonts w:asciiTheme="majorHAnsi" w:hAnsiTheme="majorHAnsi"/>
              </w:rPr>
              <w:t xml:space="preserve"> </w:t>
            </w:r>
            <w:r w:rsidRPr="00D814EA">
              <w:rPr>
                <w:rFonts w:asciiTheme="majorHAnsi" w:hAnsiTheme="majorHAnsi"/>
              </w:rPr>
              <w:t xml:space="preserve">Mail: </w:t>
            </w:r>
            <w:hyperlink r:id="rId19"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1" o:title=""/>
                </v:shape>
                <o:OLEObject Type="Embed" ProgID="HP.DeskScan.2" ShapeID="_x0000_i1026" DrawAspect="Content" ObjectID="_1787490140" r:id="rId20"/>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43FAAB23"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3B212E" w:rsidRPr="003B212E">
        <w:rPr>
          <w:rFonts w:asciiTheme="majorHAnsi" w:hAnsiTheme="majorHAnsi"/>
          <w:b/>
          <w:bCs/>
        </w:rPr>
        <w:t xml:space="preserve"> </w:t>
      </w:r>
      <w:r w:rsidR="00097806">
        <w:rPr>
          <w:rFonts w:asciiTheme="majorHAnsi" w:hAnsiTheme="majorHAnsi"/>
          <w:b/>
          <w:bCs/>
        </w:rPr>
        <w:t xml:space="preserve"> SPECTROQUANT</w:t>
      </w:r>
      <w:r w:rsidR="005A5341">
        <w:rPr>
          <w:rFonts w:asciiTheme="majorHAnsi" w:hAnsiTheme="majorHAnsi"/>
          <w:b/>
          <w:bCs/>
        </w:rPr>
        <w:t xml:space="preserve"> MULTI PHOTOMETER </w:t>
      </w:r>
      <w:r w:rsidR="003B212E" w:rsidRPr="003B212E">
        <w:rPr>
          <w:rFonts w:asciiTheme="majorHAnsi" w:hAnsiTheme="majorHAnsi"/>
          <w:b/>
          <w:bCs/>
          <w:sz w:val="20"/>
          <w:szCs w:val="20"/>
        </w:rPr>
        <w:t>FOR CIFT,</w:t>
      </w:r>
      <w:r w:rsidR="003B212E" w:rsidRPr="00F907F5">
        <w:rPr>
          <w:rFonts w:asciiTheme="majorHAnsi" w:hAnsiTheme="majorHAnsi"/>
          <w:b/>
          <w:bCs/>
        </w:rPr>
        <w:t xml:space="preserve"> </w:t>
      </w:r>
      <w:r w:rsidR="000C76FA">
        <w:rPr>
          <w:rFonts w:asciiTheme="majorHAnsi" w:hAnsiTheme="majorHAnsi"/>
          <w:sz w:val="22"/>
          <w:szCs w:val="22"/>
        </w:rPr>
        <w:t xml:space="preserve"> </w:t>
      </w:r>
      <w:r w:rsidRPr="00D814EA">
        <w:rPr>
          <w:rFonts w:asciiTheme="majorHAnsi" w:hAnsiTheme="majorHAnsi"/>
          <w:sz w:val="22"/>
          <w:szCs w:val="22"/>
        </w:rPr>
        <w:t xml:space="preserve">through the website </w:t>
      </w:r>
      <w:hyperlink r:id="rId21"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19DEE219" w:rsidR="00D32312" w:rsidRPr="00D814EA" w:rsidRDefault="00D32312" w:rsidP="000C76FA">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D3269A">
              <w:rPr>
                <w:rFonts w:asciiTheme="majorHAnsi" w:hAnsiTheme="majorHAnsi"/>
                <w:b/>
                <w:bCs/>
                <w:sz w:val="22"/>
                <w:szCs w:val="22"/>
              </w:rPr>
              <w:t>3</w:t>
            </w:r>
            <w:r w:rsidR="00083394">
              <w:rPr>
                <w:rFonts w:asciiTheme="majorHAnsi" w:hAnsiTheme="majorHAnsi"/>
                <w:b/>
                <w:bCs/>
                <w:sz w:val="22"/>
                <w:szCs w:val="22"/>
              </w:rPr>
              <w:t>-</w:t>
            </w:r>
            <w:r w:rsidR="00D3269A">
              <w:rPr>
                <w:rFonts w:asciiTheme="majorHAnsi" w:hAnsiTheme="majorHAnsi"/>
                <w:b/>
                <w:bCs/>
                <w:sz w:val="22"/>
                <w:szCs w:val="22"/>
              </w:rPr>
              <w:t>7</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1723A1E0" w:rsidR="00D32312" w:rsidRPr="00D814EA" w:rsidRDefault="00D326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10</w:t>
            </w:r>
            <w:r w:rsidR="005F6F8B">
              <w:rPr>
                <w:rFonts w:asciiTheme="majorHAnsi" w:hAnsiTheme="majorHAnsi"/>
                <w:b/>
                <w:bCs/>
                <w:sz w:val="22"/>
                <w:szCs w:val="22"/>
              </w:rPr>
              <w:t>.09</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3418C194" w:rsidR="00D32312" w:rsidRPr="00D814EA" w:rsidRDefault="00D326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10</w:t>
            </w:r>
            <w:r w:rsidR="005F6F8B">
              <w:rPr>
                <w:rFonts w:asciiTheme="majorHAnsi" w:hAnsiTheme="majorHAnsi"/>
                <w:b/>
                <w:bCs/>
                <w:sz w:val="22"/>
                <w:szCs w:val="22"/>
              </w:rPr>
              <w:t>.09</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0FAEDD96" w:rsidR="00372D89" w:rsidRPr="00D814EA" w:rsidRDefault="00D326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03.10</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4C65899A" w:rsidR="00D32312" w:rsidRPr="00D814EA" w:rsidRDefault="00D326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w:t>
            </w:r>
            <w:r w:rsidR="00A042A4">
              <w:rPr>
                <w:rFonts w:asciiTheme="majorHAnsi" w:hAnsiTheme="majorHAnsi"/>
                <w:b/>
                <w:bCs/>
                <w:sz w:val="22"/>
                <w:szCs w:val="22"/>
              </w:rPr>
              <w:t>.</w:t>
            </w:r>
            <w:r>
              <w:rPr>
                <w:rFonts w:asciiTheme="majorHAnsi" w:hAnsiTheme="majorHAnsi"/>
                <w:b/>
                <w:bCs/>
                <w:sz w:val="22"/>
                <w:szCs w:val="22"/>
              </w:rPr>
              <w:t>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6CF2A023" w:rsidR="00D32312" w:rsidRPr="00D814EA" w:rsidRDefault="00D326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04.10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2"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3"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691A65DD"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3B64C0">
        <w:rPr>
          <w:rFonts w:asciiTheme="majorHAnsi" w:hAnsiTheme="majorHAnsi"/>
        </w:rPr>
        <w:t>10</w:t>
      </w:r>
      <w:r w:rsidR="00476396">
        <w:rPr>
          <w:rFonts w:asciiTheme="majorHAnsi" w:hAnsiTheme="majorHAnsi"/>
        </w:rPr>
        <w:t>.</w:t>
      </w:r>
      <w:r w:rsidR="00ED4539">
        <w:rPr>
          <w:rFonts w:asciiTheme="majorHAnsi" w:hAnsiTheme="majorHAnsi"/>
        </w:rPr>
        <w:t>09</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37073E" w:rsidP="005B4C21">
            <w:pPr>
              <w:spacing w:line="276" w:lineRule="auto"/>
              <w:jc w:val="both"/>
              <w:rPr>
                <w:rFonts w:asciiTheme="majorHAnsi" w:hAnsiTheme="majorHAnsi"/>
                <w:szCs w:val="22"/>
              </w:rPr>
            </w:pPr>
            <w:hyperlink r:id="rId26"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2334FCC"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B458A6">
              <w:rPr>
                <w:rFonts w:asciiTheme="majorHAnsi" w:hAnsiTheme="majorHAnsi"/>
                <w:sz w:val="22"/>
                <w:szCs w:val="22"/>
              </w:rPr>
              <w:t xml:space="preserve"> </w:t>
            </w:r>
            <w:r w:rsidRPr="00D814EA">
              <w:rPr>
                <w:rFonts w:asciiTheme="majorHAnsi" w:hAnsiTheme="majorHAnsi"/>
                <w:sz w:val="22"/>
                <w:szCs w:val="22"/>
              </w:rPr>
              <w:t>Mail:</w:t>
            </w:r>
            <w:r w:rsidR="00B458A6">
              <w:rPr>
                <w:rFonts w:asciiTheme="majorHAnsi" w:hAnsiTheme="majorHAnsi"/>
                <w:sz w:val="22"/>
                <w:szCs w:val="22"/>
              </w:rPr>
              <w:t xml:space="preserve"> </w:t>
            </w:r>
            <w:hyperlink r:id="rId27"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1" o:title=""/>
                </v:shape>
                <o:OLEObject Type="Embed" ProgID="HP.DeskScan.2" ShapeID="_x0000_i1027" DrawAspect="Content" ObjectID="_1787490141" r:id="rId28"/>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29"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0"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1"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2E90B7C0"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3B64C0">
        <w:rPr>
          <w:rFonts w:asciiTheme="majorHAnsi" w:hAnsiTheme="majorHAnsi"/>
          <w:b/>
          <w:bCs/>
          <w:sz w:val="22"/>
          <w:szCs w:val="22"/>
        </w:rPr>
        <w:t>1</w:t>
      </w:r>
      <w:r w:rsidR="003B19CB">
        <w:rPr>
          <w:rFonts w:asciiTheme="majorHAnsi" w:hAnsiTheme="majorHAnsi"/>
          <w:b/>
          <w:bCs/>
          <w:sz w:val="22"/>
          <w:szCs w:val="22"/>
        </w:rPr>
        <w:t xml:space="preserve"> 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 xml:space="preserve">has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35893820"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B458A6">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37073E" w:rsidP="005B4C21">
            <w:pPr>
              <w:spacing w:line="276" w:lineRule="auto"/>
              <w:jc w:val="both"/>
              <w:rPr>
                <w:rFonts w:asciiTheme="majorHAnsi" w:hAnsiTheme="majorHAnsi"/>
                <w:szCs w:val="22"/>
              </w:rPr>
            </w:pPr>
            <w:hyperlink r:id="rId32"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BE9D516"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374F3F">
              <w:rPr>
                <w:rFonts w:asciiTheme="majorHAnsi" w:hAnsiTheme="majorHAnsi"/>
                <w:sz w:val="22"/>
                <w:szCs w:val="22"/>
              </w:rPr>
              <w:t xml:space="preserve"> </w:t>
            </w:r>
            <w:r w:rsidRPr="00D814EA">
              <w:rPr>
                <w:rFonts w:asciiTheme="majorHAnsi" w:hAnsiTheme="majorHAnsi"/>
                <w:sz w:val="22"/>
                <w:szCs w:val="22"/>
              </w:rPr>
              <w:t xml:space="preserve">Mail: </w:t>
            </w:r>
            <w:hyperlink r:id="rId33"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1" o:title=""/>
                </v:shape>
                <o:OLEObject Type="Embed" ProgID="HP.DeskScan.2" ShapeID="_x0000_i1028" DrawAspect="Content" ObjectID="_1787490142" r:id="rId34"/>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02842EF1"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E6148E" w:rsidRPr="00E6148E">
        <w:rPr>
          <w:rFonts w:asciiTheme="majorHAnsi" w:hAnsiTheme="majorHAnsi"/>
          <w:b/>
          <w:bCs/>
          <w:sz w:val="22"/>
          <w:szCs w:val="22"/>
        </w:rPr>
        <w:t xml:space="preserve">:  </w:t>
      </w:r>
      <w:r w:rsidR="00E6148E">
        <w:rPr>
          <w:rFonts w:asciiTheme="majorHAnsi" w:hAnsiTheme="majorHAnsi"/>
          <w:b/>
          <w:bCs/>
          <w:sz w:val="22"/>
          <w:szCs w:val="22"/>
        </w:rPr>
        <w:t xml:space="preserve">  </w:t>
      </w:r>
      <w:r w:rsidR="00097806">
        <w:rPr>
          <w:rFonts w:asciiTheme="majorHAnsi" w:hAnsiTheme="majorHAnsi"/>
          <w:b/>
          <w:bCs/>
        </w:rPr>
        <w:t>SPECTROQUANT</w:t>
      </w:r>
      <w:r w:rsidR="00E6148E" w:rsidRPr="00E6148E">
        <w:rPr>
          <w:rFonts w:asciiTheme="majorHAnsi" w:hAnsiTheme="majorHAnsi"/>
          <w:b/>
          <w:bCs/>
          <w:sz w:val="22"/>
          <w:szCs w:val="22"/>
        </w:rPr>
        <w:t xml:space="preserve"> MULTI PHOTOMETER</w:t>
      </w:r>
      <w:r w:rsidR="00E6148E">
        <w:rPr>
          <w:rFonts w:asciiTheme="majorHAnsi" w:hAnsiTheme="majorHAnsi"/>
          <w:sz w:val="22"/>
          <w:szCs w:val="22"/>
        </w:rPr>
        <w:t xml:space="preserve">     </w:t>
      </w:r>
      <w:r w:rsidR="0092029F" w:rsidRPr="00D814EA">
        <w:rPr>
          <w:rFonts w:asciiTheme="majorHAnsi" w:hAnsiTheme="majorHAnsi"/>
          <w:b/>
          <w:bCs/>
          <w:sz w:val="22"/>
          <w:szCs w:val="22"/>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857F1D">
      <w:pPr>
        <w:pStyle w:val="ListParagraph"/>
        <w:numPr>
          <w:ilvl w:val="0"/>
          <w:numId w:val="8"/>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857F1D">
      <w:pPr>
        <w:pStyle w:val="ListParagraph"/>
        <w:numPr>
          <w:ilvl w:val="0"/>
          <w:numId w:val="8"/>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857F1D">
      <w:pPr>
        <w:pStyle w:val="Default"/>
        <w:numPr>
          <w:ilvl w:val="1"/>
          <w:numId w:val="6"/>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78440B83" w:rsidR="00D917DD" w:rsidRPr="00D814EA" w:rsidRDefault="00D917DD" w:rsidP="00857F1D">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E6148E">
        <w:rPr>
          <w:rFonts w:asciiTheme="majorHAnsi" w:hAnsiTheme="majorHAnsi"/>
          <w:b/>
          <w:bCs/>
          <w:sz w:val="22"/>
          <w:szCs w:val="22"/>
        </w:rPr>
        <w:t>10500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E6148E">
        <w:rPr>
          <w:rFonts w:asciiTheme="majorHAnsi" w:hAnsiTheme="majorHAnsi"/>
          <w:b/>
          <w:bCs/>
          <w:w w:val="102"/>
          <w:sz w:val="22"/>
          <w:szCs w:val="22"/>
        </w:rPr>
        <w:t>Ten thousand five hundred</w:t>
      </w:r>
      <w:r w:rsidR="00491599">
        <w:rPr>
          <w:rFonts w:asciiTheme="majorHAnsi" w:hAnsiTheme="majorHAnsi"/>
          <w:b/>
          <w:bCs/>
          <w:w w:val="102"/>
          <w:sz w:val="22"/>
          <w:szCs w:val="22"/>
        </w:rPr>
        <w:t xml:space="preserve">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4E611D12" w:rsidR="00D917DD" w:rsidRPr="00D814EA" w:rsidRDefault="00D917DD" w:rsidP="00857F1D">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E6148E">
        <w:rPr>
          <w:rFonts w:asciiTheme="majorHAnsi" w:hAnsiTheme="majorHAnsi"/>
          <w:b/>
          <w:bCs/>
          <w:sz w:val="22"/>
          <w:szCs w:val="22"/>
        </w:rPr>
        <w:t>10500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E6148E">
        <w:rPr>
          <w:rFonts w:asciiTheme="majorHAnsi" w:hAnsiTheme="majorHAnsi"/>
          <w:b/>
          <w:bCs/>
          <w:w w:val="102"/>
          <w:sz w:val="22"/>
          <w:szCs w:val="22"/>
        </w:rPr>
        <w:t>Ten thousand five hundred</w:t>
      </w:r>
      <w:r w:rsidR="00491599">
        <w:rPr>
          <w:rFonts w:asciiTheme="majorHAnsi" w:hAnsiTheme="majorHAnsi"/>
          <w:b/>
          <w:bCs/>
          <w:w w:val="102"/>
          <w:sz w:val="22"/>
          <w:szCs w:val="22"/>
        </w:rPr>
        <w:t xml:space="preserve"> only </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5"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E6148E">
        <w:rPr>
          <w:rFonts w:asciiTheme="majorHAnsi" w:hAnsiTheme="majorHAnsi"/>
          <w:b/>
          <w:bCs/>
          <w:sz w:val="22"/>
          <w:szCs w:val="22"/>
          <w:u w:val="single"/>
        </w:rPr>
        <w:t>03.10</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857F1D">
      <w:pPr>
        <w:pStyle w:val="ListParagraph"/>
        <w:numPr>
          <w:ilvl w:val="1"/>
          <w:numId w:val="6"/>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857F1D">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acceptable  form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site, the usual payment terms</w:t>
      </w:r>
      <w:r w:rsidR="006B00A1">
        <w:rPr>
          <w:rFonts w:asciiTheme="majorHAnsi" w:hAnsiTheme="majorHAnsi"/>
          <w:sz w:val="22"/>
          <w:szCs w:val="22"/>
        </w:rPr>
        <w:t xml:space="preserve"> </w:t>
      </w:r>
      <w:r w:rsidRPr="00D814EA">
        <w:rPr>
          <w:rFonts w:asciiTheme="majorHAnsi" w:hAnsiTheme="majorHAnsi"/>
          <w:sz w:val="22"/>
          <w:szCs w:val="22"/>
        </w:rPr>
        <w:t xml:space="preserve">is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from </w:t>
      </w:r>
      <w:r w:rsidRPr="00D814EA">
        <w:rPr>
          <w:rFonts w:asciiTheme="majorHAnsi" w:hAnsiTheme="majorHAnsi"/>
          <w:sz w:val="22"/>
          <w:szCs w:val="22"/>
        </w:rPr>
        <w:t xml:space="preserve"> the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Pr="0044178D" w:rsidRDefault="008C6C73">
      <w:pPr>
        <w:spacing w:after="200" w:line="276" w:lineRule="auto"/>
        <w:rPr>
          <w:rFonts w:asciiTheme="majorHAnsi" w:hAnsiTheme="majorHAnsi"/>
          <w:bCs/>
          <w:sz w:val="22"/>
          <w:szCs w:val="22"/>
        </w:rPr>
      </w:pPr>
      <w:r w:rsidRPr="0044178D">
        <w:rPr>
          <w:rFonts w:asciiTheme="majorHAnsi" w:hAnsiTheme="majorHAnsi"/>
          <w:bCs/>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1E7860" w:rsidRDefault="00D47880" w:rsidP="00D47880">
      <w:pPr>
        <w:autoSpaceDE w:val="0"/>
        <w:autoSpaceDN w:val="0"/>
        <w:adjustRightInd w:val="0"/>
        <w:jc w:val="center"/>
        <w:rPr>
          <w:rFonts w:asciiTheme="majorHAnsi" w:eastAsia="Calibri" w:hAnsiTheme="majorHAnsi"/>
          <w:b/>
          <w:bCs/>
          <w:u w:val="single"/>
          <w:lang w:bidi="th-TH"/>
        </w:rPr>
      </w:pPr>
    </w:p>
    <w:p w14:paraId="79E95727" w14:textId="478FCA82" w:rsidR="001E7860" w:rsidRPr="001E7860" w:rsidRDefault="001E7860" w:rsidP="001E7860">
      <w:pPr>
        <w:spacing w:after="200" w:line="276" w:lineRule="auto"/>
        <w:jc w:val="center"/>
        <w:rPr>
          <w:rFonts w:asciiTheme="majorHAnsi" w:hAnsiTheme="majorHAnsi"/>
          <w:u w:val="single"/>
        </w:rPr>
      </w:pPr>
      <w:r w:rsidRPr="001E7860">
        <w:rPr>
          <w:rFonts w:asciiTheme="majorHAnsi" w:hAnsiTheme="majorHAnsi"/>
          <w:b/>
          <w:color w:val="000000"/>
          <w:u w:val="single"/>
        </w:rPr>
        <w:t xml:space="preserve">TECHNICAL SPECIFICATION FOR </w:t>
      </w:r>
      <w:r w:rsidR="00100B0B">
        <w:rPr>
          <w:rFonts w:asciiTheme="majorHAnsi" w:hAnsiTheme="majorHAnsi"/>
          <w:b/>
          <w:color w:val="000000"/>
          <w:u w:val="single"/>
        </w:rPr>
        <w:t>MULTIPHOTOMETER</w:t>
      </w:r>
    </w:p>
    <w:p w14:paraId="5211C639" w14:textId="7DF5B072" w:rsidR="00100B0B" w:rsidRPr="00463FBE" w:rsidRDefault="0044178D" w:rsidP="00857F1D">
      <w:pPr>
        <w:pStyle w:val="ListParagraph"/>
        <w:numPr>
          <w:ilvl w:val="0"/>
          <w:numId w:val="9"/>
        </w:numPr>
        <w:spacing w:line="276" w:lineRule="auto"/>
        <w:rPr>
          <w:rFonts w:asciiTheme="majorHAnsi" w:hAnsiTheme="majorHAnsi"/>
        </w:rPr>
      </w:pPr>
      <w:r w:rsidRPr="00463FBE">
        <w:rPr>
          <w:rFonts w:asciiTheme="majorHAnsi" w:hAnsiTheme="majorHAnsi"/>
        </w:rPr>
        <w:t>Multi photometer with LED type, Interference  Filters and photo sensor</w:t>
      </w:r>
    </w:p>
    <w:p w14:paraId="628AB2AE" w14:textId="64511BD0" w:rsidR="0044178D" w:rsidRPr="00463FBE" w:rsidRDefault="0044178D" w:rsidP="00857F1D">
      <w:pPr>
        <w:pStyle w:val="ListParagraph"/>
        <w:numPr>
          <w:ilvl w:val="0"/>
          <w:numId w:val="9"/>
        </w:numPr>
        <w:spacing w:line="276" w:lineRule="auto"/>
        <w:rPr>
          <w:rFonts w:asciiTheme="majorHAnsi" w:hAnsiTheme="majorHAnsi"/>
        </w:rPr>
      </w:pPr>
      <w:r w:rsidRPr="00463FBE">
        <w:rPr>
          <w:rFonts w:asciiTheme="majorHAnsi" w:hAnsiTheme="majorHAnsi"/>
        </w:rPr>
        <w:t>Wavelength range:  430 nm, 530nm,</w:t>
      </w:r>
      <w:r w:rsidR="00796B48">
        <w:rPr>
          <w:rFonts w:asciiTheme="majorHAnsi" w:hAnsiTheme="majorHAnsi"/>
        </w:rPr>
        <w:t xml:space="preserve">  560nm, </w:t>
      </w:r>
      <w:r w:rsidRPr="00463FBE">
        <w:rPr>
          <w:rFonts w:asciiTheme="majorHAnsi" w:hAnsiTheme="majorHAnsi"/>
        </w:rPr>
        <w:t>580 nm, 610 nm, 660 nm</w:t>
      </w:r>
    </w:p>
    <w:p w14:paraId="2F334187" w14:textId="670C0A55" w:rsidR="0044178D" w:rsidRPr="00463FBE" w:rsidRDefault="0044178D" w:rsidP="00857F1D">
      <w:pPr>
        <w:pStyle w:val="ListParagraph"/>
        <w:numPr>
          <w:ilvl w:val="0"/>
          <w:numId w:val="9"/>
        </w:numPr>
        <w:spacing w:line="276" w:lineRule="auto"/>
        <w:rPr>
          <w:rFonts w:asciiTheme="majorHAnsi" w:hAnsiTheme="majorHAnsi"/>
        </w:rPr>
      </w:pPr>
      <w:r w:rsidRPr="00463FBE">
        <w:rPr>
          <w:rFonts w:asciiTheme="majorHAnsi" w:hAnsiTheme="majorHAnsi"/>
        </w:rPr>
        <w:t>Wavelength Accuracy  : - ± 1 nm</w:t>
      </w:r>
    </w:p>
    <w:p w14:paraId="20D3590D" w14:textId="5C06BC3C" w:rsidR="0044178D" w:rsidRPr="00463FBE" w:rsidRDefault="0044178D" w:rsidP="00857F1D">
      <w:pPr>
        <w:pStyle w:val="ListParagraph"/>
        <w:numPr>
          <w:ilvl w:val="0"/>
          <w:numId w:val="9"/>
        </w:numPr>
        <w:spacing w:line="276" w:lineRule="auto"/>
        <w:rPr>
          <w:rFonts w:asciiTheme="majorHAnsi" w:hAnsiTheme="majorHAnsi"/>
        </w:rPr>
      </w:pPr>
      <w:r w:rsidRPr="00463FBE">
        <w:rPr>
          <w:rFonts w:asciiTheme="majorHAnsi" w:hAnsiTheme="majorHAnsi"/>
        </w:rPr>
        <w:t xml:space="preserve">Photometeric Accuracy :   - </w:t>
      </w:r>
      <w:r w:rsidRPr="00463FBE">
        <w:rPr>
          <w:rFonts w:asciiTheme="majorHAnsi" w:hAnsiTheme="majorHAnsi" w:cs="Arial"/>
          <w:color w:val="001D35"/>
          <w:shd w:val="clear" w:color="auto" w:fill="FFFFFF"/>
        </w:rPr>
        <w:t>≤2% FS or better</w:t>
      </w:r>
    </w:p>
    <w:p w14:paraId="1E58B936" w14:textId="655A995D" w:rsidR="00A23A77" w:rsidRPr="00A23A77" w:rsidRDefault="00A23A77" w:rsidP="00857F1D">
      <w:pPr>
        <w:pStyle w:val="ListParagraph"/>
        <w:numPr>
          <w:ilvl w:val="0"/>
          <w:numId w:val="9"/>
        </w:numPr>
        <w:spacing w:line="276" w:lineRule="auto"/>
        <w:rPr>
          <w:rFonts w:asciiTheme="majorHAnsi" w:hAnsiTheme="majorHAnsi"/>
          <w:sz w:val="22"/>
          <w:szCs w:val="22"/>
        </w:rPr>
      </w:pPr>
      <w:r>
        <w:rPr>
          <w:rFonts w:asciiTheme="majorHAnsi" w:hAnsiTheme="majorHAnsi" w:cs="Arial"/>
          <w:color w:val="001D35"/>
          <w:sz w:val="22"/>
          <w:szCs w:val="22"/>
          <w:shd w:val="clear" w:color="auto" w:fill="FFFFFF"/>
        </w:rPr>
        <w:t>TESTING PARAMETERS REQUIRED</w:t>
      </w:r>
    </w:p>
    <w:p w14:paraId="4CC6105A" w14:textId="0C4B6C1C" w:rsidR="00A23A77" w:rsidRPr="0044178D" w:rsidRDefault="00A23A77" w:rsidP="00A23A77">
      <w:pPr>
        <w:pStyle w:val="ListParagraph"/>
        <w:spacing w:line="276" w:lineRule="auto"/>
        <w:rPr>
          <w:rFonts w:asciiTheme="majorHAnsi" w:hAnsiTheme="majorHAnsi"/>
          <w:sz w:val="22"/>
          <w:szCs w:val="22"/>
        </w:rPr>
      </w:pPr>
      <w:r>
        <w:rPr>
          <w:rFonts w:asciiTheme="majorHAnsi" w:hAnsiTheme="majorHAnsi" w:cs="Arial"/>
          <w:color w:val="001D35"/>
          <w:sz w:val="22"/>
          <w:szCs w:val="22"/>
          <w:shd w:val="clear" w:color="auto" w:fill="FFFFFF"/>
        </w:rPr>
        <w:t xml:space="preserve">  </w:t>
      </w:r>
    </w:p>
    <w:p w14:paraId="0EEE667B" w14:textId="6A39CC04" w:rsidR="00100B0B" w:rsidRDefault="00463FBE" w:rsidP="00857F1D">
      <w:pPr>
        <w:pStyle w:val="ListParagraph"/>
        <w:numPr>
          <w:ilvl w:val="0"/>
          <w:numId w:val="10"/>
        </w:numPr>
        <w:spacing w:line="276" w:lineRule="auto"/>
        <w:rPr>
          <w:rFonts w:asciiTheme="majorHAnsi" w:hAnsiTheme="majorHAnsi"/>
          <w:sz w:val="22"/>
          <w:szCs w:val="22"/>
        </w:rPr>
      </w:pPr>
      <w:r w:rsidRPr="00463FBE">
        <w:rPr>
          <w:rFonts w:asciiTheme="majorHAnsi" w:hAnsiTheme="majorHAnsi"/>
          <w:sz w:val="22"/>
          <w:szCs w:val="22"/>
        </w:rPr>
        <w:t>Colour in Hazen</w:t>
      </w:r>
      <w:r>
        <w:rPr>
          <w:rFonts w:asciiTheme="majorHAnsi" w:hAnsiTheme="majorHAnsi"/>
          <w:sz w:val="22"/>
          <w:szCs w:val="22"/>
        </w:rPr>
        <w:t xml:space="preserve"> -0 to 500 mg/L</w:t>
      </w:r>
    </w:p>
    <w:p w14:paraId="45585ECE" w14:textId="3F000CC4" w:rsidR="00463FBE" w:rsidRDefault="00796B48" w:rsidP="00857F1D">
      <w:pPr>
        <w:pStyle w:val="ListParagraph"/>
        <w:numPr>
          <w:ilvl w:val="0"/>
          <w:numId w:val="10"/>
        </w:numPr>
        <w:spacing w:line="276" w:lineRule="auto"/>
        <w:rPr>
          <w:rFonts w:asciiTheme="majorHAnsi" w:hAnsiTheme="majorHAnsi"/>
          <w:sz w:val="22"/>
          <w:szCs w:val="22"/>
        </w:rPr>
      </w:pPr>
      <w:r>
        <w:rPr>
          <w:rFonts w:asciiTheme="majorHAnsi" w:hAnsiTheme="majorHAnsi"/>
          <w:sz w:val="22"/>
          <w:szCs w:val="22"/>
        </w:rPr>
        <w:t>Alkalinity -  0 to 500</w:t>
      </w:r>
      <w:r w:rsidR="00463FBE">
        <w:rPr>
          <w:rFonts w:asciiTheme="majorHAnsi" w:hAnsiTheme="majorHAnsi"/>
          <w:sz w:val="22"/>
          <w:szCs w:val="22"/>
        </w:rPr>
        <w:t xml:space="preserve"> mg/L</w:t>
      </w:r>
    </w:p>
    <w:p w14:paraId="69B8C8D6" w14:textId="419E1308" w:rsidR="00463FBE" w:rsidRDefault="00463FBE" w:rsidP="00857F1D">
      <w:pPr>
        <w:pStyle w:val="ListParagraph"/>
        <w:numPr>
          <w:ilvl w:val="0"/>
          <w:numId w:val="10"/>
        </w:numPr>
        <w:spacing w:line="276" w:lineRule="auto"/>
        <w:rPr>
          <w:rFonts w:asciiTheme="majorHAnsi" w:hAnsiTheme="majorHAnsi"/>
          <w:sz w:val="22"/>
          <w:szCs w:val="22"/>
        </w:rPr>
      </w:pPr>
      <w:r>
        <w:rPr>
          <w:rFonts w:asciiTheme="majorHAnsi" w:hAnsiTheme="majorHAnsi"/>
          <w:sz w:val="22"/>
          <w:szCs w:val="22"/>
        </w:rPr>
        <w:t>COD-   0  to 15000 mg/L</w:t>
      </w:r>
    </w:p>
    <w:p w14:paraId="4E3E2855" w14:textId="6807FC66" w:rsidR="00463FBE" w:rsidRDefault="00463FBE" w:rsidP="00857F1D">
      <w:pPr>
        <w:pStyle w:val="ListParagraph"/>
        <w:numPr>
          <w:ilvl w:val="0"/>
          <w:numId w:val="10"/>
        </w:numPr>
        <w:spacing w:line="276" w:lineRule="auto"/>
        <w:rPr>
          <w:rFonts w:asciiTheme="majorHAnsi" w:hAnsiTheme="majorHAnsi"/>
          <w:sz w:val="22"/>
          <w:szCs w:val="22"/>
        </w:rPr>
      </w:pPr>
      <w:r>
        <w:rPr>
          <w:rFonts w:asciiTheme="majorHAnsi" w:hAnsiTheme="majorHAnsi"/>
          <w:sz w:val="22"/>
          <w:szCs w:val="22"/>
        </w:rPr>
        <w:t>Chlorine -  0 to 200 mg/L</w:t>
      </w:r>
    </w:p>
    <w:p w14:paraId="684CDEB0" w14:textId="222C701F" w:rsidR="00463FBE" w:rsidRDefault="00463FBE" w:rsidP="00857F1D">
      <w:pPr>
        <w:pStyle w:val="ListParagraph"/>
        <w:numPr>
          <w:ilvl w:val="0"/>
          <w:numId w:val="10"/>
        </w:numPr>
        <w:spacing w:line="276" w:lineRule="auto"/>
        <w:rPr>
          <w:rFonts w:asciiTheme="majorHAnsi" w:hAnsiTheme="majorHAnsi"/>
          <w:sz w:val="22"/>
          <w:szCs w:val="22"/>
        </w:rPr>
      </w:pPr>
      <w:r>
        <w:rPr>
          <w:rFonts w:asciiTheme="majorHAnsi" w:hAnsiTheme="majorHAnsi"/>
          <w:sz w:val="22"/>
          <w:szCs w:val="22"/>
        </w:rPr>
        <w:t>Turbidity – 0 to 1000 FAU</w:t>
      </w:r>
    </w:p>
    <w:p w14:paraId="39C34DAF" w14:textId="1F0EC8CE" w:rsidR="00463FBE" w:rsidRPr="00463FBE" w:rsidRDefault="00463FBE" w:rsidP="00857F1D">
      <w:pPr>
        <w:pStyle w:val="ListParagraph"/>
        <w:numPr>
          <w:ilvl w:val="0"/>
          <w:numId w:val="10"/>
        </w:numPr>
        <w:spacing w:line="276" w:lineRule="auto"/>
        <w:rPr>
          <w:rFonts w:asciiTheme="majorHAnsi" w:hAnsiTheme="majorHAnsi"/>
          <w:sz w:val="22"/>
          <w:szCs w:val="22"/>
        </w:rPr>
      </w:pPr>
      <w:r>
        <w:rPr>
          <w:rFonts w:asciiTheme="majorHAnsi" w:hAnsiTheme="majorHAnsi"/>
          <w:sz w:val="22"/>
          <w:szCs w:val="22"/>
        </w:rPr>
        <w:t xml:space="preserve"> Hardness – 0 to 500 mg/L</w:t>
      </w:r>
    </w:p>
    <w:p w14:paraId="6ADE3421" w14:textId="77777777" w:rsidR="00100B0B" w:rsidRPr="00463FBE" w:rsidRDefault="00100B0B" w:rsidP="001E751F">
      <w:pPr>
        <w:spacing w:line="276" w:lineRule="auto"/>
        <w:jc w:val="right"/>
        <w:rPr>
          <w:rFonts w:asciiTheme="majorHAnsi" w:hAnsiTheme="majorHAnsi"/>
          <w:sz w:val="22"/>
          <w:szCs w:val="22"/>
        </w:rPr>
      </w:pPr>
    </w:p>
    <w:p w14:paraId="1DD61A7F" w14:textId="7E07C6FF" w:rsidR="00463FBE" w:rsidRDefault="00463FBE" w:rsidP="00857F1D">
      <w:pPr>
        <w:pStyle w:val="ListParagraph"/>
        <w:numPr>
          <w:ilvl w:val="0"/>
          <w:numId w:val="11"/>
        </w:numPr>
        <w:spacing w:line="276" w:lineRule="auto"/>
        <w:rPr>
          <w:rFonts w:asciiTheme="majorHAnsi" w:hAnsiTheme="majorHAnsi"/>
          <w:sz w:val="22"/>
          <w:szCs w:val="22"/>
        </w:rPr>
      </w:pPr>
      <w:r w:rsidRPr="00463FBE">
        <w:rPr>
          <w:rFonts w:asciiTheme="majorHAnsi" w:hAnsiTheme="majorHAnsi"/>
          <w:sz w:val="22"/>
          <w:szCs w:val="22"/>
        </w:rPr>
        <w:t>Equipment</w:t>
      </w:r>
      <w:r>
        <w:rPr>
          <w:rFonts w:asciiTheme="majorHAnsi" w:hAnsiTheme="majorHAnsi"/>
          <w:sz w:val="22"/>
          <w:szCs w:val="22"/>
        </w:rPr>
        <w:t xml:space="preserve"> can be bench top type or portable with graphic display</w:t>
      </w:r>
    </w:p>
    <w:p w14:paraId="437DFA06" w14:textId="6798A08B" w:rsidR="00463FBE" w:rsidRDefault="00463FBE" w:rsidP="00857F1D">
      <w:pPr>
        <w:pStyle w:val="ListParagraph"/>
        <w:numPr>
          <w:ilvl w:val="0"/>
          <w:numId w:val="11"/>
        </w:numPr>
        <w:spacing w:line="276" w:lineRule="auto"/>
        <w:rPr>
          <w:rFonts w:asciiTheme="majorHAnsi" w:hAnsiTheme="majorHAnsi"/>
          <w:sz w:val="22"/>
          <w:szCs w:val="22"/>
        </w:rPr>
      </w:pPr>
      <w:r>
        <w:rPr>
          <w:rFonts w:asciiTheme="majorHAnsi" w:hAnsiTheme="majorHAnsi"/>
          <w:sz w:val="22"/>
          <w:szCs w:val="22"/>
        </w:rPr>
        <w:t>Equipment should support programmable</w:t>
      </w:r>
      <w:r w:rsidR="00C94D00">
        <w:rPr>
          <w:rFonts w:asciiTheme="majorHAnsi" w:hAnsiTheme="majorHAnsi"/>
          <w:sz w:val="22"/>
          <w:szCs w:val="22"/>
        </w:rPr>
        <w:t xml:space="preserve"> methods and have sufficient  data storage facility.</w:t>
      </w:r>
    </w:p>
    <w:p w14:paraId="4EC49BC4" w14:textId="6553D560" w:rsidR="00C94D00" w:rsidRPr="00463FBE" w:rsidRDefault="00C94D00" w:rsidP="00857F1D">
      <w:pPr>
        <w:pStyle w:val="ListParagraph"/>
        <w:numPr>
          <w:ilvl w:val="0"/>
          <w:numId w:val="11"/>
        </w:numPr>
        <w:spacing w:line="276" w:lineRule="auto"/>
        <w:rPr>
          <w:rFonts w:asciiTheme="majorHAnsi" w:hAnsiTheme="majorHAnsi"/>
          <w:sz w:val="22"/>
          <w:szCs w:val="22"/>
        </w:rPr>
      </w:pPr>
      <w:r>
        <w:rPr>
          <w:rFonts w:asciiTheme="majorHAnsi" w:hAnsiTheme="majorHAnsi"/>
          <w:sz w:val="22"/>
          <w:szCs w:val="22"/>
        </w:rPr>
        <w:t>USB connectivity and other advanced connectivity techniques are preferable.</w:t>
      </w:r>
    </w:p>
    <w:p w14:paraId="6982BFB6" w14:textId="77777777" w:rsidR="00100B0B" w:rsidRDefault="00100B0B" w:rsidP="001E751F">
      <w:pPr>
        <w:spacing w:line="276" w:lineRule="auto"/>
        <w:jc w:val="right"/>
        <w:rPr>
          <w:rFonts w:asciiTheme="majorHAnsi" w:hAnsiTheme="majorHAnsi"/>
          <w:b/>
          <w:bCs/>
          <w:sz w:val="22"/>
          <w:szCs w:val="22"/>
          <w:u w:val="single"/>
        </w:rPr>
      </w:pPr>
    </w:p>
    <w:p w14:paraId="58018E58" w14:textId="77777777" w:rsidR="00100B0B" w:rsidRDefault="00100B0B" w:rsidP="001E751F">
      <w:pPr>
        <w:spacing w:line="276" w:lineRule="auto"/>
        <w:jc w:val="right"/>
        <w:rPr>
          <w:rFonts w:asciiTheme="majorHAnsi" w:hAnsiTheme="majorHAnsi"/>
          <w:b/>
          <w:bCs/>
          <w:sz w:val="22"/>
          <w:szCs w:val="22"/>
          <w:u w:val="single"/>
        </w:rPr>
      </w:pPr>
    </w:p>
    <w:p w14:paraId="4EBEAF05" w14:textId="77777777" w:rsidR="00100B0B" w:rsidRDefault="00100B0B" w:rsidP="001E751F">
      <w:pPr>
        <w:spacing w:line="276" w:lineRule="auto"/>
        <w:jc w:val="right"/>
        <w:rPr>
          <w:rFonts w:asciiTheme="majorHAnsi" w:hAnsiTheme="majorHAnsi"/>
          <w:b/>
          <w:bCs/>
          <w:sz w:val="22"/>
          <w:szCs w:val="22"/>
          <w:u w:val="single"/>
        </w:rPr>
      </w:pPr>
    </w:p>
    <w:p w14:paraId="1DC2D135" w14:textId="77777777" w:rsidR="00100B0B" w:rsidRPr="0044178D" w:rsidRDefault="00100B0B" w:rsidP="001E751F">
      <w:pPr>
        <w:spacing w:line="276" w:lineRule="auto"/>
        <w:jc w:val="right"/>
        <w:rPr>
          <w:rFonts w:asciiTheme="majorHAnsi" w:hAnsiTheme="majorHAnsi"/>
          <w:sz w:val="22"/>
          <w:szCs w:val="22"/>
        </w:rPr>
      </w:pPr>
    </w:p>
    <w:p w14:paraId="55E0ABCE" w14:textId="77777777" w:rsidR="00100B0B" w:rsidRDefault="00100B0B" w:rsidP="001E751F">
      <w:pPr>
        <w:spacing w:line="276" w:lineRule="auto"/>
        <w:jc w:val="right"/>
        <w:rPr>
          <w:rFonts w:asciiTheme="majorHAnsi" w:hAnsiTheme="majorHAnsi"/>
          <w:b/>
          <w:bCs/>
          <w:sz w:val="22"/>
          <w:szCs w:val="22"/>
          <w:u w:val="single"/>
        </w:rPr>
      </w:pPr>
    </w:p>
    <w:p w14:paraId="272BD79A" w14:textId="77777777" w:rsidR="00100B0B" w:rsidRDefault="00100B0B" w:rsidP="001E751F">
      <w:pPr>
        <w:spacing w:line="276" w:lineRule="auto"/>
        <w:jc w:val="right"/>
        <w:rPr>
          <w:rFonts w:asciiTheme="majorHAnsi" w:hAnsiTheme="majorHAnsi"/>
          <w:b/>
          <w:bCs/>
          <w:sz w:val="22"/>
          <w:szCs w:val="22"/>
          <w:u w:val="single"/>
        </w:rPr>
      </w:pPr>
    </w:p>
    <w:p w14:paraId="57FAF9A6" w14:textId="77777777" w:rsidR="00100B0B" w:rsidRDefault="00100B0B" w:rsidP="001E751F">
      <w:pPr>
        <w:spacing w:line="276" w:lineRule="auto"/>
        <w:jc w:val="right"/>
        <w:rPr>
          <w:rFonts w:asciiTheme="majorHAnsi" w:hAnsiTheme="majorHAnsi"/>
          <w:b/>
          <w:bCs/>
          <w:sz w:val="22"/>
          <w:szCs w:val="22"/>
          <w:u w:val="single"/>
        </w:rPr>
      </w:pPr>
    </w:p>
    <w:p w14:paraId="524832D0" w14:textId="77777777" w:rsidR="00100B0B" w:rsidRDefault="00100B0B" w:rsidP="001E751F">
      <w:pPr>
        <w:spacing w:line="276" w:lineRule="auto"/>
        <w:jc w:val="right"/>
        <w:rPr>
          <w:rFonts w:asciiTheme="majorHAnsi" w:hAnsiTheme="majorHAnsi"/>
          <w:b/>
          <w:bCs/>
          <w:sz w:val="22"/>
          <w:szCs w:val="22"/>
          <w:u w:val="single"/>
        </w:rPr>
      </w:pPr>
    </w:p>
    <w:p w14:paraId="36D249C7" w14:textId="77777777" w:rsidR="00100B0B" w:rsidRDefault="00100B0B" w:rsidP="001E751F">
      <w:pPr>
        <w:spacing w:line="276" w:lineRule="auto"/>
        <w:jc w:val="right"/>
        <w:rPr>
          <w:rFonts w:asciiTheme="majorHAnsi" w:hAnsiTheme="majorHAnsi"/>
          <w:b/>
          <w:bCs/>
          <w:sz w:val="22"/>
          <w:szCs w:val="22"/>
          <w:u w:val="single"/>
        </w:rPr>
      </w:pPr>
    </w:p>
    <w:p w14:paraId="3C652691" w14:textId="77777777" w:rsidR="00100B0B" w:rsidRDefault="00100B0B" w:rsidP="001E751F">
      <w:pPr>
        <w:spacing w:line="276" w:lineRule="auto"/>
        <w:jc w:val="right"/>
        <w:rPr>
          <w:rFonts w:asciiTheme="majorHAnsi" w:hAnsiTheme="majorHAnsi"/>
          <w:b/>
          <w:bCs/>
          <w:sz w:val="22"/>
          <w:szCs w:val="22"/>
          <w:u w:val="single"/>
        </w:rPr>
      </w:pPr>
    </w:p>
    <w:p w14:paraId="0F856943" w14:textId="77777777" w:rsidR="00100B0B" w:rsidRDefault="00100B0B" w:rsidP="001E751F">
      <w:pPr>
        <w:spacing w:line="276" w:lineRule="auto"/>
        <w:jc w:val="right"/>
        <w:rPr>
          <w:rFonts w:asciiTheme="majorHAnsi" w:hAnsiTheme="majorHAnsi"/>
          <w:b/>
          <w:bCs/>
          <w:sz w:val="22"/>
          <w:szCs w:val="22"/>
          <w:u w:val="single"/>
        </w:rPr>
      </w:pPr>
    </w:p>
    <w:p w14:paraId="0C23E7FD" w14:textId="77777777" w:rsidR="00100B0B" w:rsidRDefault="00100B0B" w:rsidP="001E751F">
      <w:pPr>
        <w:spacing w:line="276" w:lineRule="auto"/>
        <w:jc w:val="right"/>
        <w:rPr>
          <w:rFonts w:asciiTheme="majorHAnsi" w:hAnsiTheme="majorHAnsi"/>
          <w:b/>
          <w:bCs/>
          <w:sz w:val="22"/>
          <w:szCs w:val="22"/>
          <w:u w:val="single"/>
        </w:rPr>
      </w:pPr>
    </w:p>
    <w:p w14:paraId="588794AC" w14:textId="77777777" w:rsidR="00100B0B" w:rsidRDefault="00100B0B" w:rsidP="001E751F">
      <w:pPr>
        <w:spacing w:line="276" w:lineRule="auto"/>
        <w:jc w:val="right"/>
        <w:rPr>
          <w:rFonts w:asciiTheme="majorHAnsi" w:hAnsiTheme="majorHAnsi"/>
          <w:b/>
          <w:bCs/>
          <w:sz w:val="22"/>
          <w:szCs w:val="22"/>
          <w:u w:val="single"/>
        </w:rPr>
      </w:pPr>
    </w:p>
    <w:p w14:paraId="645F7A6D" w14:textId="77777777" w:rsidR="00100B0B" w:rsidRDefault="00100B0B" w:rsidP="001E751F">
      <w:pPr>
        <w:spacing w:line="276" w:lineRule="auto"/>
        <w:jc w:val="right"/>
        <w:rPr>
          <w:rFonts w:asciiTheme="majorHAnsi" w:hAnsiTheme="majorHAnsi"/>
          <w:b/>
          <w:bCs/>
          <w:sz w:val="22"/>
          <w:szCs w:val="22"/>
          <w:u w:val="single"/>
        </w:rPr>
      </w:pPr>
    </w:p>
    <w:p w14:paraId="3DE88FAC" w14:textId="77777777" w:rsidR="00100B0B" w:rsidRDefault="00100B0B" w:rsidP="001E751F">
      <w:pPr>
        <w:spacing w:line="276" w:lineRule="auto"/>
        <w:jc w:val="right"/>
        <w:rPr>
          <w:rFonts w:asciiTheme="majorHAnsi" w:hAnsiTheme="majorHAnsi"/>
          <w:b/>
          <w:bCs/>
          <w:sz w:val="22"/>
          <w:szCs w:val="22"/>
          <w:u w:val="single"/>
        </w:rPr>
      </w:pPr>
    </w:p>
    <w:p w14:paraId="1DDC9ECA" w14:textId="77777777" w:rsidR="00100B0B" w:rsidRDefault="00100B0B" w:rsidP="001E751F">
      <w:pPr>
        <w:spacing w:line="276" w:lineRule="auto"/>
        <w:jc w:val="right"/>
        <w:rPr>
          <w:rFonts w:asciiTheme="majorHAnsi" w:hAnsiTheme="majorHAnsi"/>
          <w:b/>
          <w:bCs/>
          <w:sz w:val="22"/>
          <w:szCs w:val="22"/>
          <w:u w:val="single"/>
        </w:rPr>
      </w:pPr>
    </w:p>
    <w:p w14:paraId="33C4750A" w14:textId="77777777" w:rsidR="00100B0B" w:rsidRDefault="00100B0B" w:rsidP="001E751F">
      <w:pPr>
        <w:spacing w:line="276" w:lineRule="auto"/>
        <w:jc w:val="right"/>
        <w:rPr>
          <w:rFonts w:asciiTheme="majorHAnsi" w:hAnsiTheme="majorHAnsi"/>
          <w:b/>
          <w:bCs/>
          <w:sz w:val="22"/>
          <w:szCs w:val="22"/>
          <w:u w:val="single"/>
        </w:rPr>
      </w:pPr>
    </w:p>
    <w:p w14:paraId="12CAC951" w14:textId="77777777" w:rsidR="00100B0B" w:rsidRDefault="00100B0B" w:rsidP="001E751F">
      <w:pPr>
        <w:spacing w:line="276" w:lineRule="auto"/>
        <w:jc w:val="right"/>
        <w:rPr>
          <w:rFonts w:asciiTheme="majorHAnsi" w:hAnsiTheme="majorHAnsi"/>
          <w:b/>
          <w:bCs/>
          <w:sz w:val="22"/>
          <w:szCs w:val="22"/>
          <w:u w:val="single"/>
        </w:rPr>
      </w:pPr>
    </w:p>
    <w:p w14:paraId="0899E340" w14:textId="77777777" w:rsidR="00100B0B" w:rsidRDefault="00100B0B" w:rsidP="001E751F">
      <w:pPr>
        <w:spacing w:line="276" w:lineRule="auto"/>
        <w:jc w:val="right"/>
        <w:rPr>
          <w:rFonts w:asciiTheme="majorHAnsi" w:hAnsiTheme="majorHAnsi"/>
          <w:b/>
          <w:bCs/>
          <w:sz w:val="22"/>
          <w:szCs w:val="22"/>
          <w:u w:val="single"/>
        </w:rPr>
      </w:pPr>
    </w:p>
    <w:p w14:paraId="12AFB1EB" w14:textId="77777777" w:rsidR="00100B0B" w:rsidRDefault="00100B0B" w:rsidP="001E751F">
      <w:pPr>
        <w:spacing w:line="276" w:lineRule="auto"/>
        <w:jc w:val="right"/>
        <w:rPr>
          <w:rFonts w:asciiTheme="majorHAnsi" w:hAnsiTheme="majorHAnsi"/>
          <w:b/>
          <w:bCs/>
          <w:sz w:val="22"/>
          <w:szCs w:val="22"/>
          <w:u w:val="single"/>
        </w:rPr>
      </w:pPr>
    </w:p>
    <w:p w14:paraId="79494987" w14:textId="77777777" w:rsidR="00100B0B" w:rsidRDefault="00100B0B" w:rsidP="001E751F">
      <w:pPr>
        <w:spacing w:line="276" w:lineRule="auto"/>
        <w:jc w:val="right"/>
        <w:rPr>
          <w:rFonts w:asciiTheme="majorHAnsi" w:hAnsiTheme="majorHAnsi"/>
          <w:b/>
          <w:bCs/>
          <w:sz w:val="22"/>
          <w:szCs w:val="22"/>
          <w:u w:val="single"/>
        </w:rPr>
      </w:pPr>
    </w:p>
    <w:p w14:paraId="0B96B2FD" w14:textId="77777777" w:rsidR="00100B0B" w:rsidRDefault="00100B0B" w:rsidP="001E751F">
      <w:pPr>
        <w:spacing w:line="276" w:lineRule="auto"/>
        <w:jc w:val="right"/>
        <w:rPr>
          <w:rFonts w:asciiTheme="majorHAnsi" w:hAnsiTheme="majorHAnsi"/>
          <w:b/>
          <w:bCs/>
          <w:sz w:val="22"/>
          <w:szCs w:val="22"/>
          <w:u w:val="single"/>
        </w:rPr>
      </w:pPr>
    </w:p>
    <w:p w14:paraId="2F5D3973" w14:textId="77777777" w:rsidR="00100B0B" w:rsidRDefault="00100B0B" w:rsidP="001E751F">
      <w:pPr>
        <w:spacing w:line="276" w:lineRule="auto"/>
        <w:jc w:val="right"/>
        <w:rPr>
          <w:rFonts w:asciiTheme="majorHAnsi" w:hAnsiTheme="majorHAnsi"/>
          <w:b/>
          <w:bCs/>
          <w:sz w:val="22"/>
          <w:szCs w:val="22"/>
          <w:u w:val="single"/>
        </w:rPr>
      </w:pPr>
    </w:p>
    <w:p w14:paraId="2671CAB1" w14:textId="77777777" w:rsidR="00100B0B" w:rsidRDefault="00100B0B" w:rsidP="001E751F">
      <w:pPr>
        <w:spacing w:line="276" w:lineRule="auto"/>
        <w:jc w:val="right"/>
        <w:rPr>
          <w:rFonts w:asciiTheme="majorHAnsi" w:hAnsiTheme="majorHAnsi"/>
          <w:b/>
          <w:bCs/>
          <w:sz w:val="22"/>
          <w:szCs w:val="22"/>
          <w:u w:val="single"/>
        </w:rPr>
      </w:pPr>
    </w:p>
    <w:p w14:paraId="7679C0F0" w14:textId="77777777" w:rsidR="00100B0B" w:rsidRDefault="00100B0B" w:rsidP="001E751F">
      <w:pPr>
        <w:spacing w:line="276" w:lineRule="auto"/>
        <w:jc w:val="right"/>
        <w:rPr>
          <w:rFonts w:asciiTheme="majorHAnsi" w:hAnsiTheme="majorHAnsi"/>
          <w:b/>
          <w:bCs/>
          <w:sz w:val="22"/>
          <w:szCs w:val="22"/>
          <w:u w:val="single"/>
        </w:rPr>
      </w:pPr>
    </w:p>
    <w:p w14:paraId="37EBB2D2" w14:textId="77777777" w:rsidR="00100B0B" w:rsidRDefault="00100B0B" w:rsidP="001E751F">
      <w:pPr>
        <w:spacing w:line="276" w:lineRule="auto"/>
        <w:jc w:val="right"/>
        <w:rPr>
          <w:rFonts w:asciiTheme="majorHAnsi" w:hAnsiTheme="majorHAnsi"/>
          <w:b/>
          <w:bCs/>
          <w:sz w:val="22"/>
          <w:szCs w:val="22"/>
          <w:u w:val="single"/>
        </w:rPr>
      </w:pPr>
    </w:p>
    <w:p w14:paraId="6837F0E3" w14:textId="77777777" w:rsidR="00100B0B" w:rsidRDefault="00100B0B"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Date:…………………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lastRenderedPageBreak/>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30C863DE"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 xml:space="preserve">List of </w:t>
      </w:r>
      <w:r w:rsidR="00374F3F">
        <w:rPr>
          <w:rFonts w:asciiTheme="majorHAnsi" w:hAnsiTheme="majorHAnsi"/>
          <w:b/>
          <w:bCs/>
          <w:sz w:val="22"/>
          <w:szCs w:val="22"/>
        </w:rPr>
        <w:t xml:space="preserve"> </w:t>
      </w:r>
      <w:r w:rsidRPr="00D814EA">
        <w:rPr>
          <w:rFonts w:asciiTheme="majorHAnsi" w:hAnsiTheme="majorHAnsi"/>
          <w:b/>
          <w:bCs/>
          <w:sz w:val="22"/>
          <w:szCs w:val="22"/>
        </w:rPr>
        <w:t>Documents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857F1D">
      <w:pPr>
        <w:pStyle w:val="ListParagraph"/>
        <w:numPr>
          <w:ilvl w:val="0"/>
          <w:numId w:val="4"/>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857F1D">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r w:rsidR="00EF1280" w:rsidRPr="00D814EA">
        <w:rPr>
          <w:rFonts w:asciiTheme="majorHAnsi" w:hAnsiTheme="majorHAnsi"/>
          <w:sz w:val="22"/>
          <w:szCs w:val="22"/>
        </w:rPr>
        <w:t>xls</w:t>
      </w:r>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for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Sub :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3FDC8C3E"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00B458A6">
        <w:rPr>
          <w:rFonts w:asciiTheme="majorHAnsi" w:hAnsiTheme="majorHAnsi"/>
          <w:sz w:val="22"/>
          <w:szCs w:val="22"/>
        </w:rPr>
        <w:t xml:space="preserve"> </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857F1D">
      <w:pPr>
        <w:pStyle w:val="ListParagraph"/>
        <w:numPr>
          <w:ilvl w:val="0"/>
          <w:numId w:val="5"/>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857F1D">
      <w:pPr>
        <w:pStyle w:val="ListParagraph"/>
        <w:numPr>
          <w:ilvl w:val="0"/>
          <w:numId w:val="5"/>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0AFCFEDE"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 xml:space="preserve">documents from page No………………………….to…………………..(including all documents like </w:t>
      </w:r>
      <w:r w:rsidRPr="00D814EA">
        <w:rPr>
          <w:rFonts w:asciiTheme="majorHAnsi" w:hAnsiTheme="majorHAnsi"/>
          <w:sz w:val="22"/>
          <w:szCs w:val="22"/>
        </w:rPr>
        <w:tab/>
        <w:t>annexure(s),Schedules(s), etc</w:t>
      </w:r>
      <w:r w:rsidR="00B458A6">
        <w:rPr>
          <w:rFonts w:asciiTheme="majorHAnsi" w:hAnsiTheme="majorHAnsi"/>
          <w:sz w:val="22"/>
          <w:szCs w:val="22"/>
        </w:rPr>
        <w:t xml:space="preserve"> </w:t>
      </w:r>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corrigendum(s)in its totality.</w:t>
      </w:r>
    </w:p>
    <w:p w14:paraId="7787A00B" w14:textId="26CA440C"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t>
      </w:r>
      <w:r w:rsidR="00B458A6">
        <w:rPr>
          <w:rFonts w:asciiTheme="majorHAnsi" w:hAnsiTheme="majorHAnsi"/>
          <w:sz w:val="22"/>
          <w:szCs w:val="22"/>
        </w:rPr>
        <w:t xml:space="preserve"> </w:t>
      </w:r>
      <w:r w:rsidRPr="00D814EA">
        <w:rPr>
          <w:rFonts w:asciiTheme="majorHAnsi" w:hAnsiTheme="majorHAnsi"/>
          <w:sz w:val="22"/>
          <w:szCs w:val="22"/>
        </w:rPr>
        <w:t>We  do hereby declare that our firm has not been blacklisted /debarred by any Government Department. Public sector undertaking</w:t>
      </w:r>
    </w:p>
    <w:p w14:paraId="2913C7B3" w14:textId="77777777"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I/We certify that all information furnished by our firm is true and correct and in the  event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857F1D">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857F1D">
      <w:pPr>
        <w:pStyle w:val="ListParagraph"/>
        <w:numPr>
          <w:ilvl w:val="0"/>
          <w:numId w:val="5"/>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857F1D">
      <w:pPr>
        <w:pStyle w:val="ListParagraph"/>
        <w:numPr>
          <w:ilvl w:val="0"/>
          <w:numId w:val="5"/>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1"/>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1678" w14:textId="77777777" w:rsidR="0037073E" w:rsidRDefault="0037073E" w:rsidP="005D0972">
      <w:r>
        <w:separator/>
      </w:r>
    </w:p>
  </w:endnote>
  <w:endnote w:type="continuationSeparator" w:id="0">
    <w:p w14:paraId="4C5615B6" w14:textId="77777777" w:rsidR="0037073E" w:rsidRDefault="0037073E"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3B64C0" w:rsidRDefault="003B64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97806" w:rsidRPr="00097806">
          <w:rPr>
            <w:b/>
            <w:bCs/>
            <w:noProof/>
          </w:rPr>
          <w:t>16</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3B64C0" w:rsidRDefault="003B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538D" w14:textId="77777777" w:rsidR="0037073E" w:rsidRDefault="0037073E" w:rsidP="005D0972">
      <w:r>
        <w:separator/>
      </w:r>
    </w:p>
  </w:footnote>
  <w:footnote w:type="continuationSeparator" w:id="0">
    <w:p w14:paraId="2EF6EFBF" w14:textId="77777777" w:rsidR="0037073E" w:rsidRDefault="0037073E" w:rsidP="005D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622BA"/>
    <w:multiLevelType w:val="hybridMultilevel"/>
    <w:tmpl w:val="03146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15:restartNumberingAfterBreak="0">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842AB"/>
    <w:multiLevelType w:val="hybridMultilevel"/>
    <w:tmpl w:val="C81421BE"/>
    <w:lvl w:ilvl="0" w:tplc="40090003">
      <w:start w:val="1"/>
      <w:numFmt w:val="bullet"/>
      <w:lvlText w:val="o"/>
      <w:lvlJc w:val="left"/>
      <w:pPr>
        <w:ind w:left="1695" w:hanging="360"/>
      </w:pPr>
      <w:rPr>
        <w:rFonts w:ascii="Courier New" w:hAnsi="Courier New" w:cs="Courier New" w:hint="default"/>
      </w:rPr>
    </w:lvl>
    <w:lvl w:ilvl="1" w:tplc="40090003" w:tentative="1">
      <w:start w:val="1"/>
      <w:numFmt w:val="bullet"/>
      <w:lvlText w:val="o"/>
      <w:lvlJc w:val="left"/>
      <w:pPr>
        <w:ind w:left="2415" w:hanging="360"/>
      </w:pPr>
      <w:rPr>
        <w:rFonts w:ascii="Courier New" w:hAnsi="Courier New" w:cs="Courier New" w:hint="default"/>
      </w:rPr>
    </w:lvl>
    <w:lvl w:ilvl="2" w:tplc="40090005" w:tentative="1">
      <w:start w:val="1"/>
      <w:numFmt w:val="bullet"/>
      <w:lvlText w:val=""/>
      <w:lvlJc w:val="left"/>
      <w:pPr>
        <w:ind w:left="3135" w:hanging="360"/>
      </w:pPr>
      <w:rPr>
        <w:rFonts w:ascii="Wingdings" w:hAnsi="Wingdings" w:hint="default"/>
      </w:rPr>
    </w:lvl>
    <w:lvl w:ilvl="3" w:tplc="40090001" w:tentative="1">
      <w:start w:val="1"/>
      <w:numFmt w:val="bullet"/>
      <w:lvlText w:val=""/>
      <w:lvlJc w:val="left"/>
      <w:pPr>
        <w:ind w:left="3855" w:hanging="360"/>
      </w:pPr>
      <w:rPr>
        <w:rFonts w:ascii="Symbol" w:hAnsi="Symbol" w:hint="default"/>
      </w:rPr>
    </w:lvl>
    <w:lvl w:ilvl="4" w:tplc="40090003" w:tentative="1">
      <w:start w:val="1"/>
      <w:numFmt w:val="bullet"/>
      <w:lvlText w:val="o"/>
      <w:lvlJc w:val="left"/>
      <w:pPr>
        <w:ind w:left="4575" w:hanging="360"/>
      </w:pPr>
      <w:rPr>
        <w:rFonts w:ascii="Courier New" w:hAnsi="Courier New" w:cs="Courier New" w:hint="default"/>
      </w:rPr>
    </w:lvl>
    <w:lvl w:ilvl="5" w:tplc="40090005" w:tentative="1">
      <w:start w:val="1"/>
      <w:numFmt w:val="bullet"/>
      <w:lvlText w:val=""/>
      <w:lvlJc w:val="left"/>
      <w:pPr>
        <w:ind w:left="5295" w:hanging="360"/>
      </w:pPr>
      <w:rPr>
        <w:rFonts w:ascii="Wingdings" w:hAnsi="Wingdings" w:hint="default"/>
      </w:rPr>
    </w:lvl>
    <w:lvl w:ilvl="6" w:tplc="40090001" w:tentative="1">
      <w:start w:val="1"/>
      <w:numFmt w:val="bullet"/>
      <w:lvlText w:val=""/>
      <w:lvlJc w:val="left"/>
      <w:pPr>
        <w:ind w:left="6015" w:hanging="360"/>
      </w:pPr>
      <w:rPr>
        <w:rFonts w:ascii="Symbol" w:hAnsi="Symbol" w:hint="default"/>
      </w:rPr>
    </w:lvl>
    <w:lvl w:ilvl="7" w:tplc="40090003" w:tentative="1">
      <w:start w:val="1"/>
      <w:numFmt w:val="bullet"/>
      <w:lvlText w:val="o"/>
      <w:lvlJc w:val="left"/>
      <w:pPr>
        <w:ind w:left="6735" w:hanging="360"/>
      </w:pPr>
      <w:rPr>
        <w:rFonts w:ascii="Courier New" w:hAnsi="Courier New" w:cs="Courier New" w:hint="default"/>
      </w:rPr>
    </w:lvl>
    <w:lvl w:ilvl="8" w:tplc="40090005" w:tentative="1">
      <w:start w:val="1"/>
      <w:numFmt w:val="bullet"/>
      <w:lvlText w:val=""/>
      <w:lvlJc w:val="left"/>
      <w:pPr>
        <w:ind w:left="7455" w:hanging="360"/>
      </w:pPr>
      <w:rPr>
        <w:rFonts w:ascii="Wingdings" w:hAnsi="Wingdings" w:hint="default"/>
      </w:rPr>
    </w:lvl>
  </w:abstractNum>
  <w:abstractNum w:abstractNumId="5" w15:restartNumberingAfterBreak="0">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770D1C"/>
    <w:multiLevelType w:val="hybridMultilevel"/>
    <w:tmpl w:val="55109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
  </w:num>
  <w:num w:numId="9">
    <w:abstractNumId w:val="7"/>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3394"/>
    <w:rsid w:val="00085516"/>
    <w:rsid w:val="00087237"/>
    <w:rsid w:val="00091812"/>
    <w:rsid w:val="000923DA"/>
    <w:rsid w:val="00097806"/>
    <w:rsid w:val="000A0833"/>
    <w:rsid w:val="000A274A"/>
    <w:rsid w:val="000A41D7"/>
    <w:rsid w:val="000A74DF"/>
    <w:rsid w:val="000A7FEE"/>
    <w:rsid w:val="000B26D0"/>
    <w:rsid w:val="000B3DE7"/>
    <w:rsid w:val="000B4299"/>
    <w:rsid w:val="000B4CBE"/>
    <w:rsid w:val="000B5576"/>
    <w:rsid w:val="000C599A"/>
    <w:rsid w:val="000C76FA"/>
    <w:rsid w:val="000D607B"/>
    <w:rsid w:val="000D6350"/>
    <w:rsid w:val="000E199D"/>
    <w:rsid w:val="000E418D"/>
    <w:rsid w:val="000F2F8C"/>
    <w:rsid w:val="000F4169"/>
    <w:rsid w:val="00100B0B"/>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E7860"/>
    <w:rsid w:val="001F22E1"/>
    <w:rsid w:val="001F3911"/>
    <w:rsid w:val="001F5004"/>
    <w:rsid w:val="001F76A3"/>
    <w:rsid w:val="00203EF8"/>
    <w:rsid w:val="00206142"/>
    <w:rsid w:val="00212F32"/>
    <w:rsid w:val="00243AD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073E"/>
    <w:rsid w:val="00372D89"/>
    <w:rsid w:val="00373D5B"/>
    <w:rsid w:val="00373DFA"/>
    <w:rsid w:val="00374A2B"/>
    <w:rsid w:val="00374F3F"/>
    <w:rsid w:val="0039170F"/>
    <w:rsid w:val="0039375E"/>
    <w:rsid w:val="00397486"/>
    <w:rsid w:val="003A1CA6"/>
    <w:rsid w:val="003A435E"/>
    <w:rsid w:val="003A6C02"/>
    <w:rsid w:val="003B19CB"/>
    <w:rsid w:val="003B212E"/>
    <w:rsid w:val="003B27C8"/>
    <w:rsid w:val="003B64C0"/>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178D"/>
    <w:rsid w:val="0044623E"/>
    <w:rsid w:val="0044747F"/>
    <w:rsid w:val="00447EF6"/>
    <w:rsid w:val="00450DB5"/>
    <w:rsid w:val="00451BD7"/>
    <w:rsid w:val="004533C4"/>
    <w:rsid w:val="00463FBE"/>
    <w:rsid w:val="004657FF"/>
    <w:rsid w:val="0047616A"/>
    <w:rsid w:val="00476396"/>
    <w:rsid w:val="00491599"/>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A0466"/>
    <w:rsid w:val="005A1211"/>
    <w:rsid w:val="005A3878"/>
    <w:rsid w:val="005A5341"/>
    <w:rsid w:val="005A7F1A"/>
    <w:rsid w:val="005B1B20"/>
    <w:rsid w:val="005B4C21"/>
    <w:rsid w:val="005C3018"/>
    <w:rsid w:val="005C4E8C"/>
    <w:rsid w:val="005C514F"/>
    <w:rsid w:val="005D0972"/>
    <w:rsid w:val="005D50DD"/>
    <w:rsid w:val="005E0A0F"/>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396"/>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96B48"/>
    <w:rsid w:val="007A116F"/>
    <w:rsid w:val="007A1D43"/>
    <w:rsid w:val="007A57D8"/>
    <w:rsid w:val="007B429A"/>
    <w:rsid w:val="007B5B4E"/>
    <w:rsid w:val="007C035A"/>
    <w:rsid w:val="007C5749"/>
    <w:rsid w:val="007D1376"/>
    <w:rsid w:val="007D1A7E"/>
    <w:rsid w:val="007D53B0"/>
    <w:rsid w:val="007D7DB2"/>
    <w:rsid w:val="007E7A3C"/>
    <w:rsid w:val="007F05E9"/>
    <w:rsid w:val="007F46E3"/>
    <w:rsid w:val="007F6971"/>
    <w:rsid w:val="00805603"/>
    <w:rsid w:val="008062C3"/>
    <w:rsid w:val="00812B99"/>
    <w:rsid w:val="00822D11"/>
    <w:rsid w:val="00824618"/>
    <w:rsid w:val="00825AE5"/>
    <w:rsid w:val="008274F9"/>
    <w:rsid w:val="008319D4"/>
    <w:rsid w:val="008349AA"/>
    <w:rsid w:val="0084041F"/>
    <w:rsid w:val="00840A14"/>
    <w:rsid w:val="0084466D"/>
    <w:rsid w:val="00844C61"/>
    <w:rsid w:val="008505C6"/>
    <w:rsid w:val="00851303"/>
    <w:rsid w:val="00852574"/>
    <w:rsid w:val="0085297B"/>
    <w:rsid w:val="00857F1D"/>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06D7"/>
    <w:rsid w:val="0093294F"/>
    <w:rsid w:val="00945DA1"/>
    <w:rsid w:val="00952DBE"/>
    <w:rsid w:val="00960C70"/>
    <w:rsid w:val="009620DA"/>
    <w:rsid w:val="0096373E"/>
    <w:rsid w:val="00964CEE"/>
    <w:rsid w:val="00965BB4"/>
    <w:rsid w:val="0097290F"/>
    <w:rsid w:val="009731AA"/>
    <w:rsid w:val="00984B88"/>
    <w:rsid w:val="009850EA"/>
    <w:rsid w:val="009A6251"/>
    <w:rsid w:val="009B1694"/>
    <w:rsid w:val="009D714B"/>
    <w:rsid w:val="009E203C"/>
    <w:rsid w:val="009F12FB"/>
    <w:rsid w:val="009F430C"/>
    <w:rsid w:val="00A001D1"/>
    <w:rsid w:val="00A00BDC"/>
    <w:rsid w:val="00A032EC"/>
    <w:rsid w:val="00A042A4"/>
    <w:rsid w:val="00A044B2"/>
    <w:rsid w:val="00A10596"/>
    <w:rsid w:val="00A125CD"/>
    <w:rsid w:val="00A1670E"/>
    <w:rsid w:val="00A23852"/>
    <w:rsid w:val="00A23A77"/>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37F1F"/>
    <w:rsid w:val="00B458A6"/>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048F7"/>
    <w:rsid w:val="00C15572"/>
    <w:rsid w:val="00C225A2"/>
    <w:rsid w:val="00C2433A"/>
    <w:rsid w:val="00C3137C"/>
    <w:rsid w:val="00C36583"/>
    <w:rsid w:val="00C44D9E"/>
    <w:rsid w:val="00C45BA8"/>
    <w:rsid w:val="00C46E16"/>
    <w:rsid w:val="00C506AE"/>
    <w:rsid w:val="00C50B3F"/>
    <w:rsid w:val="00C5297B"/>
    <w:rsid w:val="00C55D0B"/>
    <w:rsid w:val="00C6351E"/>
    <w:rsid w:val="00C735C8"/>
    <w:rsid w:val="00C76229"/>
    <w:rsid w:val="00C8380E"/>
    <w:rsid w:val="00C91C31"/>
    <w:rsid w:val="00C94BFC"/>
    <w:rsid w:val="00C94D00"/>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269A"/>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148E"/>
    <w:rsid w:val="00E65F96"/>
    <w:rsid w:val="00E70B13"/>
    <w:rsid w:val="00E74798"/>
    <w:rsid w:val="00E80A0B"/>
    <w:rsid w:val="00E84936"/>
    <w:rsid w:val="00E86E48"/>
    <w:rsid w:val="00E87E44"/>
    <w:rsid w:val="00E95C73"/>
    <w:rsid w:val="00E96421"/>
    <w:rsid w:val="00EA0490"/>
    <w:rsid w:val="00EA3BB3"/>
    <w:rsid w:val="00EA7D6A"/>
    <w:rsid w:val="00EB3101"/>
    <w:rsid w:val="00ED4539"/>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7D5"/>
  <w15:docId w15:val="{4C4E1FE7-78F8-4AD5-8E42-1CB9584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ift.res.in" TargetMode="External"/><Relationship Id="rId26" Type="http://schemas.openxmlformats.org/officeDocument/2006/relationships/hyperlink" Target="http://www.cift.res.in" TargetMode="External"/><Relationship Id="rId21" Type="http://schemas.openxmlformats.org/officeDocument/2006/relationships/hyperlink" Target="http://www.eprocure.gov.in" TargetMode="Externa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www.eprocure.gov.in" TargetMode="External"/><Relationship Id="rId33" Type="http://schemas.openxmlformats.org/officeDocument/2006/relationships/hyperlink" Target="mailto:root@cift.ker..nic.in" TargetMode="External"/><Relationship Id="rId2" Type="http://schemas.openxmlformats.org/officeDocument/2006/relationships/numbering" Target="numbering.xml"/><Relationship Id="rId16" Type="http://schemas.openxmlformats.org/officeDocument/2006/relationships/hyperlink" Target="http://www.eprocure.gov.in" TargetMode="External"/><Relationship Id="rId20" Type="http://schemas.openxmlformats.org/officeDocument/2006/relationships/oleObject" Target="embeddings/oleObject2.bin"/><Relationship Id="rId29" Type="http://schemas.openxmlformats.org/officeDocument/2006/relationships/hyperlink" Target="http://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eprocure.gov.in" TargetMode="External"/><Relationship Id="rId32" Type="http://schemas.openxmlformats.org/officeDocument/2006/relationships/hyperlink" Target="http://www.cift.res.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ft.res.in" TargetMode="External"/><Relationship Id="rId23" Type="http://schemas.openxmlformats.org/officeDocument/2006/relationships/hyperlink" Target="http://www.eprocure.gov.in" TargetMode="External"/><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oot@cift.ker..nic.in" TargetMode="External"/><Relationship Id="rId31" Type="http://schemas.openxmlformats.org/officeDocument/2006/relationships/hyperlink" Target="http://eprocure.gov.in/eprocure/app)" TargetMode="External"/><Relationship Id="rId4" Type="http://schemas.openxmlformats.org/officeDocument/2006/relationships/settings" Target="settings.xml"/><Relationship Id="rId9" Type="http://schemas.openxmlformats.org/officeDocument/2006/relationships/hyperlink" Target="file:///C:\Users\acer\Desktop\etender\akmu.cift@icar.gov.in" TargetMode="External"/><Relationship Id="rId14" Type="http://schemas.openxmlformats.org/officeDocument/2006/relationships/hyperlink" Target="mailto:ciftpurchase@gmail.com" TargetMode="External"/><Relationship Id="rId22" Type="http://schemas.openxmlformats.org/officeDocument/2006/relationships/hyperlink" Target="http://www.cift.res.in" TargetMode="External"/><Relationship Id="rId27" Type="http://schemas.openxmlformats.org/officeDocument/2006/relationships/hyperlink" Target="mailto:root@cift.ker..nic.in" TargetMode="External"/><Relationship Id="rId30" Type="http://schemas.openxmlformats.org/officeDocument/2006/relationships/hyperlink" Target="https://eprocure.gov.in/eprocure/app?page=BiddersManualKit&amp;service=page" TargetMode="External"/><Relationship Id="rId35" Type="http://schemas.openxmlformats.org/officeDocument/2006/relationships/hyperlink" Target="http://www.cift.res.in/uploads/userfiles/file/EMD%20Bank%20guarantee%20format.pdf" TargetMode="External"/><Relationship Id="rId8" Type="http://schemas.openxmlformats.org/officeDocument/2006/relationships/hyperlink" Target="http://www.cift.res.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5627-5C15-4CAD-BC09-FCC1A06C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AKMU-SNC</cp:lastModifiedBy>
  <cp:revision>2</cp:revision>
  <cp:lastPrinted>2023-12-01T07:25:00Z</cp:lastPrinted>
  <dcterms:created xsi:type="dcterms:W3CDTF">2024-09-10T10:46:00Z</dcterms:created>
  <dcterms:modified xsi:type="dcterms:W3CDTF">2024-09-10T10:46:00Z</dcterms:modified>
</cp:coreProperties>
</file>